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cs="Times New Roman"/>
          <w:b w:val="0"/>
          <w:bCs w:val="0"/>
          <w:sz w:val="30"/>
        </w:rPr>
      </w:pPr>
      <w:r>
        <w:rPr>
          <w:rFonts w:hint="eastAsia" w:ascii="方正小标宋_GBK" w:hAnsi="方正小标宋_GBK" w:eastAsia="方正小标宋_GBK" w:cs="Times New Roman"/>
          <w:b w:val="0"/>
          <w:bCs w:val="0"/>
          <w:sz w:val="30"/>
        </w:rPr>
        <w:t>（二）公共资源交易领域基层政务公开标准目录</w:t>
      </w:r>
    </w:p>
    <w:tbl>
      <w:tblPr>
        <w:tblStyle w:val="4"/>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776"/>
        <w:gridCol w:w="3364"/>
        <w:gridCol w:w="2340"/>
        <w:gridCol w:w="1620"/>
        <w:gridCol w:w="956"/>
        <w:gridCol w:w="1856"/>
        <w:gridCol w:w="720"/>
        <w:gridCol w:w="900"/>
        <w:gridCol w:w="788"/>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kern w:val="0"/>
                <w:sz w:val="22"/>
              </w:rPr>
              <w:t>序号</w:t>
            </w:r>
          </w:p>
        </w:tc>
        <w:tc>
          <w:tcPr>
            <w:tcW w:w="1676" w:type="dxa"/>
            <w:gridSpan w:val="2"/>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公开事项</w:t>
            </w:r>
          </w:p>
        </w:tc>
        <w:tc>
          <w:tcPr>
            <w:tcW w:w="3364"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公开内容（要素）</w:t>
            </w:r>
          </w:p>
        </w:tc>
        <w:tc>
          <w:tcPr>
            <w:tcW w:w="2340"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公开依据</w:t>
            </w:r>
          </w:p>
        </w:tc>
        <w:tc>
          <w:tcPr>
            <w:tcW w:w="1620"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hint="eastAsia" w:ascii="黑体" w:hAnsi="宋体" w:eastAsia="黑体" w:cs="宋体"/>
                <w:kern w:val="0"/>
                <w:sz w:val="22"/>
              </w:rPr>
            </w:pPr>
            <w:r>
              <w:rPr>
                <w:rFonts w:hint="eastAsia" w:ascii="黑体" w:hAnsi="宋体" w:eastAsia="黑体" w:cs="宋体"/>
                <w:kern w:val="0"/>
                <w:sz w:val="22"/>
              </w:rPr>
              <w:t>时限</w:t>
            </w:r>
          </w:p>
        </w:tc>
        <w:tc>
          <w:tcPr>
            <w:tcW w:w="956"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ascii="黑体" w:hAnsi="宋体" w:eastAsia="黑体" w:cs="宋体"/>
                <w:kern w:val="0"/>
                <w:sz w:val="22"/>
              </w:rPr>
            </w:pPr>
            <w:r>
              <w:rPr>
                <w:rFonts w:hint="eastAsia" w:ascii="黑体" w:hAnsi="宋体" w:eastAsia="黑体" w:cs="宋体"/>
                <w:kern w:val="0"/>
                <w:sz w:val="22"/>
              </w:rPr>
              <w:t>主体</w:t>
            </w:r>
          </w:p>
        </w:tc>
        <w:tc>
          <w:tcPr>
            <w:tcW w:w="1856" w:type="dxa"/>
            <w:vMerge w:val="restart"/>
            <w:shd w:val="clear" w:color="auto" w:fill="auto"/>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620"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688"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0"/>
            <w:vAlign w:val="center"/>
          </w:tcPr>
          <w:p>
            <w:pPr>
              <w:widowControl/>
              <w:jc w:val="left"/>
              <w:rPr>
                <w:rFonts w:hint="eastAsia" w:ascii="仿宋_GB2312" w:hAnsi="Times New Roman" w:eastAsia="仿宋_GB2312"/>
                <w:color w:val="000000"/>
                <w:kern w:val="0"/>
                <w:sz w:val="18"/>
                <w:szCs w:val="18"/>
              </w:rPr>
            </w:pPr>
          </w:p>
        </w:tc>
        <w:tc>
          <w:tcPr>
            <w:tcW w:w="900" w:type="dxa"/>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一级事项</w:t>
            </w:r>
          </w:p>
        </w:tc>
        <w:tc>
          <w:tcPr>
            <w:tcW w:w="776" w:type="dxa"/>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二级事项</w:t>
            </w:r>
          </w:p>
        </w:tc>
        <w:tc>
          <w:tcPr>
            <w:tcW w:w="3364" w:type="dxa"/>
            <w:vMerge w:val="continue"/>
            <w:shd w:val="clear" w:color="auto" w:fill="auto"/>
            <w:noWrap w:val="0"/>
            <w:vAlign w:val="center"/>
          </w:tcPr>
          <w:p>
            <w:pPr>
              <w:widowControl/>
              <w:jc w:val="left"/>
              <w:rPr>
                <w:rFonts w:hint="eastAsia" w:ascii="黑体" w:hAnsi="宋体" w:eastAsia="黑体" w:cs="宋体"/>
                <w:kern w:val="0"/>
                <w:sz w:val="22"/>
              </w:rPr>
            </w:pPr>
          </w:p>
        </w:tc>
        <w:tc>
          <w:tcPr>
            <w:tcW w:w="2340" w:type="dxa"/>
            <w:vMerge w:val="continue"/>
            <w:shd w:val="clear" w:color="auto" w:fill="auto"/>
            <w:noWrap w:val="0"/>
            <w:vAlign w:val="center"/>
          </w:tcPr>
          <w:p>
            <w:pPr>
              <w:widowControl/>
              <w:jc w:val="left"/>
              <w:rPr>
                <w:rFonts w:hint="eastAsia" w:ascii="黑体" w:hAnsi="宋体" w:eastAsia="黑体" w:cs="宋体"/>
                <w:kern w:val="0"/>
                <w:sz w:val="22"/>
              </w:rPr>
            </w:pPr>
          </w:p>
        </w:tc>
        <w:tc>
          <w:tcPr>
            <w:tcW w:w="1620" w:type="dxa"/>
            <w:vMerge w:val="continue"/>
            <w:shd w:val="clear" w:color="auto" w:fill="auto"/>
            <w:noWrap w:val="0"/>
            <w:vAlign w:val="center"/>
          </w:tcPr>
          <w:p>
            <w:pPr>
              <w:widowControl/>
              <w:jc w:val="left"/>
              <w:rPr>
                <w:rFonts w:hint="eastAsia" w:ascii="黑体" w:hAnsi="宋体" w:eastAsia="黑体" w:cs="宋体"/>
                <w:kern w:val="0"/>
                <w:sz w:val="22"/>
              </w:rPr>
            </w:pPr>
          </w:p>
        </w:tc>
        <w:tc>
          <w:tcPr>
            <w:tcW w:w="956" w:type="dxa"/>
            <w:vMerge w:val="continue"/>
            <w:shd w:val="clear" w:color="auto" w:fill="auto"/>
            <w:noWrap w:val="0"/>
            <w:vAlign w:val="center"/>
          </w:tcPr>
          <w:p>
            <w:pPr>
              <w:widowControl/>
              <w:jc w:val="left"/>
              <w:rPr>
                <w:rFonts w:ascii="黑体" w:hAnsi="宋体" w:eastAsia="黑体" w:cs="宋体"/>
                <w:kern w:val="0"/>
                <w:sz w:val="22"/>
              </w:rPr>
            </w:pPr>
          </w:p>
        </w:tc>
        <w:tc>
          <w:tcPr>
            <w:tcW w:w="1856" w:type="dxa"/>
            <w:vMerge w:val="continue"/>
            <w:shd w:val="clear" w:color="auto" w:fill="auto"/>
            <w:noWrap w:val="0"/>
            <w:vAlign w:val="center"/>
          </w:tcPr>
          <w:p>
            <w:pPr>
              <w:widowControl/>
              <w:jc w:val="left"/>
              <w:rPr>
                <w:rFonts w:ascii="黑体" w:hAnsi="宋体" w:eastAsia="黑体" w:cs="宋体"/>
                <w:kern w:val="0"/>
                <w:sz w:val="22"/>
              </w:rPr>
            </w:pP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90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群众</w:t>
            </w:r>
          </w:p>
        </w:tc>
        <w:tc>
          <w:tcPr>
            <w:tcW w:w="788"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90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90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w:t>
            </w:r>
          </w:p>
        </w:tc>
        <w:tc>
          <w:tcPr>
            <w:tcW w:w="776"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审批核准信息</w:t>
            </w:r>
          </w:p>
        </w:tc>
        <w:tc>
          <w:tcPr>
            <w:tcW w:w="3364"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招标内容、招标范围、招标组织形式、招标方式、招标估算金额、招标事项审核或核准部门。</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《招标投标法实施条例》、《政府信息公开条例》、《国务院办公厅关于推进公共资源配置领域政府信息公开的意见》</w:t>
            </w:r>
          </w:p>
        </w:tc>
        <w:tc>
          <w:tcPr>
            <w:tcW w:w="1620" w:type="dxa"/>
            <w:shd w:val="clear" w:color="auto" w:fill="auto"/>
            <w:noWrap w:val="0"/>
            <w:vAlign w:val="center"/>
          </w:tcPr>
          <w:p>
            <w:pPr>
              <w:jc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及时公开</w:t>
            </w:r>
          </w:p>
        </w:tc>
        <w:tc>
          <w:tcPr>
            <w:tcW w:w="956" w:type="dxa"/>
            <w:shd w:val="clear" w:color="auto" w:fill="auto"/>
            <w:noWrap w:val="0"/>
            <w:vAlign w:val="center"/>
          </w:tcPr>
          <w:p>
            <w:pPr>
              <w:rPr>
                <w:rFonts w:hint="eastAsia" w:ascii="仿宋_GB2312" w:hAnsi="宋体" w:eastAsia="仿宋_GB2312"/>
                <w:sz w:val="18"/>
                <w:szCs w:val="18"/>
                <w:lang w:eastAsia="zh-CN"/>
              </w:rPr>
            </w:pPr>
            <w:r>
              <w:rPr>
                <w:rFonts w:hint="eastAsia" w:ascii="仿宋_GB2312" w:hAnsi="宋体" w:eastAsia="仿宋_GB2312"/>
                <w:sz w:val="18"/>
                <w:szCs w:val="18"/>
                <w:lang w:eastAsia="zh-CN"/>
              </w:rPr>
              <w:t>招标人或者其委托的招标代理机构</w:t>
            </w:r>
          </w:p>
        </w:tc>
        <w:tc>
          <w:tcPr>
            <w:tcW w:w="1856"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招标投标公共服务平台</w:t>
            </w:r>
            <w:r>
              <w:rPr>
                <w:rFonts w:ascii="仿宋_GB2312" w:hAnsi="宋体" w:eastAsia="仿宋_GB2312"/>
                <w:sz w:val="18"/>
                <w:szCs w:val="18"/>
              </w:rPr>
              <w:t></w:t>
            </w:r>
          </w:p>
          <w:p>
            <w:pPr>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公共资源交易平台</w:t>
            </w:r>
          </w:p>
          <w:p>
            <w:pPr>
              <w:rPr>
                <w:rFonts w:hint="eastAsia" w:ascii="仿宋_GB2312" w:hAnsi="宋体" w:eastAsia="仿宋_GB2312" w:cs="Times New Roman"/>
                <w:kern w:val="2"/>
                <w:sz w:val="18"/>
                <w:szCs w:val="18"/>
                <w:lang w:val="en-US" w:eastAsia="zh-CN" w:bidi="ar-SA"/>
              </w:rPr>
            </w:pPr>
            <w:r>
              <w:rPr>
                <w:rFonts w:hint="eastAsia" w:ascii="仿宋_GB2312" w:hAnsi="宋体" w:eastAsia="仿宋_GB2312"/>
                <w:sz w:val="18"/>
                <w:szCs w:val="18"/>
              </w:rPr>
              <w:t>■</w:t>
            </w:r>
            <w:r>
              <w:rPr>
                <w:rFonts w:hint="eastAsia" w:ascii="仿宋_GB2312" w:hAnsi="宋体" w:eastAsia="仿宋_GB2312"/>
                <w:sz w:val="18"/>
                <w:szCs w:val="18"/>
                <w:lang w:eastAsia="zh-CN"/>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90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tc>
        <w:tc>
          <w:tcPr>
            <w:tcW w:w="776"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资格预审公告</w:t>
            </w:r>
          </w:p>
        </w:tc>
        <w:tc>
          <w:tcPr>
            <w:tcW w:w="3364"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w:t>
            </w:r>
          </w:p>
        </w:tc>
        <w:tc>
          <w:tcPr>
            <w:tcW w:w="1620" w:type="dxa"/>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900" w:type="dxa"/>
            <w:vMerge w:val="restart"/>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p>
            <w:pPr>
              <w:jc w:val="center"/>
              <w:rPr>
                <w:rFonts w:hint="eastAsia" w:ascii="仿宋_GB2312" w:hAnsi="宋体" w:eastAsia="仿宋_GB2312" w:cs="宋体"/>
                <w:sz w:val="18"/>
                <w:szCs w:val="18"/>
              </w:rPr>
            </w:pPr>
            <w:r>
              <w:rPr>
                <w:rFonts w:hint="eastAsia" w:ascii="仿宋_GB2312" w:hAnsi="宋体" w:eastAsia="仿宋_GB2312"/>
                <w:sz w:val="18"/>
                <w:szCs w:val="18"/>
              </w:rPr>
              <w:t>　</w:t>
            </w:r>
          </w:p>
        </w:tc>
        <w:tc>
          <w:tcPr>
            <w:tcW w:w="776"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招标公告</w:t>
            </w:r>
          </w:p>
        </w:tc>
        <w:tc>
          <w:tcPr>
            <w:tcW w:w="3364"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340" w:type="dxa"/>
            <w:vMerge w:val="restart"/>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《招标投标法》、《招标投标法实施条例》、《国务院办公厅关于推进公共资源配置领域政府信息公开的意见》、《招标公告和公示信息发布管理办法》、《电子招标投标办法》</w:t>
            </w:r>
          </w:p>
        </w:tc>
        <w:tc>
          <w:tcPr>
            <w:tcW w:w="1620" w:type="dxa"/>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900" w:type="dxa"/>
            <w:vMerge w:val="continue"/>
            <w:shd w:val="clear" w:color="auto" w:fill="auto"/>
            <w:noWrap w:val="0"/>
            <w:vAlign w:val="center"/>
          </w:tcPr>
          <w:p>
            <w:pPr>
              <w:jc w:val="center"/>
              <w:rPr>
                <w:rFonts w:hint="eastAsia" w:ascii="仿宋_GB2312" w:hAnsi="宋体" w:eastAsia="仿宋_GB2312" w:cs="宋体"/>
                <w:sz w:val="18"/>
                <w:szCs w:val="18"/>
              </w:rPr>
            </w:pPr>
          </w:p>
        </w:tc>
        <w:tc>
          <w:tcPr>
            <w:tcW w:w="776"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中标候选人公示</w:t>
            </w:r>
          </w:p>
        </w:tc>
        <w:tc>
          <w:tcPr>
            <w:tcW w:w="3364"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r>
              <w:rPr>
                <w:rFonts w:hint="eastAsia" w:ascii="仿宋_GB2312" w:hAnsi="宋体" w:eastAsia="仿宋_GB2312"/>
                <w:sz w:val="18"/>
                <w:szCs w:val="18"/>
              </w:rPr>
              <w:br w:type="textWrapping"/>
            </w:r>
            <w:r>
              <w:rPr>
                <w:rFonts w:hint="eastAsia" w:ascii="仿宋_GB2312" w:hAnsi="宋体" w:eastAsia="仿宋_GB2312"/>
                <w:sz w:val="18"/>
                <w:szCs w:val="18"/>
              </w:rPr>
              <w:t>招标文件规定公示的其他内容。</w:t>
            </w:r>
          </w:p>
        </w:tc>
        <w:tc>
          <w:tcPr>
            <w:tcW w:w="2340" w:type="dxa"/>
            <w:vMerge w:val="continue"/>
            <w:shd w:val="clear" w:color="auto" w:fill="auto"/>
            <w:noWrap w:val="0"/>
            <w:vAlign w:val="center"/>
          </w:tcPr>
          <w:p>
            <w:pPr>
              <w:rPr>
                <w:rFonts w:hint="eastAsia" w:ascii="仿宋_GB2312" w:hAnsi="宋体" w:eastAsia="仿宋_GB2312"/>
                <w:sz w:val="18"/>
                <w:szCs w:val="18"/>
              </w:rPr>
            </w:pPr>
          </w:p>
        </w:tc>
        <w:tc>
          <w:tcPr>
            <w:tcW w:w="162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依法必须进行招标的项目，招标人应当自收到评标报告之日起3日内公示中标候选人，公示期不得少于3日</w:t>
            </w:r>
          </w:p>
        </w:tc>
        <w:tc>
          <w:tcPr>
            <w:tcW w:w="9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5</w:t>
            </w:r>
          </w:p>
        </w:tc>
        <w:tc>
          <w:tcPr>
            <w:tcW w:w="900" w:type="dxa"/>
            <w:vMerge w:val="restart"/>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工程建设项目招标投标信息　</w:t>
            </w:r>
          </w:p>
        </w:tc>
        <w:tc>
          <w:tcPr>
            <w:tcW w:w="776"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中标结果</w:t>
            </w:r>
          </w:p>
        </w:tc>
        <w:tc>
          <w:tcPr>
            <w:tcW w:w="3364"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招标项目名称、中标人名称、中标价、工期、项目负责人、中标内容。</w:t>
            </w:r>
          </w:p>
        </w:tc>
        <w:tc>
          <w:tcPr>
            <w:tcW w:w="234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 xml:space="preserve">《国务院办公厅关于推进公共资源配置领域政府信息公开的意见》、《招标公告和公示信息发布管理办法》、《电子招标投标办法》 </w:t>
            </w:r>
          </w:p>
        </w:tc>
        <w:tc>
          <w:tcPr>
            <w:tcW w:w="1620" w:type="dxa"/>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6</w:t>
            </w:r>
          </w:p>
        </w:tc>
        <w:tc>
          <w:tcPr>
            <w:tcW w:w="900" w:type="dxa"/>
            <w:vMerge w:val="continue"/>
            <w:shd w:val="clear" w:color="auto" w:fill="auto"/>
            <w:noWrap w:val="0"/>
            <w:vAlign w:val="center"/>
          </w:tcPr>
          <w:p>
            <w:pPr>
              <w:jc w:val="center"/>
              <w:rPr>
                <w:rFonts w:hint="eastAsia" w:ascii="仿宋_GB2312" w:hAnsi="宋体" w:eastAsia="仿宋_GB2312"/>
                <w:sz w:val="18"/>
                <w:szCs w:val="18"/>
              </w:rPr>
            </w:pPr>
          </w:p>
        </w:tc>
        <w:tc>
          <w:tcPr>
            <w:tcW w:w="776"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合同订立信息</w:t>
            </w:r>
          </w:p>
        </w:tc>
        <w:tc>
          <w:tcPr>
            <w:tcW w:w="3364"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包括项目名称、合同双方名称、合同价款、签约时间、合同期限。</w:t>
            </w:r>
          </w:p>
        </w:tc>
        <w:tc>
          <w:tcPr>
            <w:tcW w:w="2340" w:type="dxa"/>
            <w:vMerge w:val="restart"/>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《国务院办公厅关于推进公共资源配置领域政府信息公开的意见》、《电子招标投标办法》</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合同当事人</w:t>
            </w:r>
          </w:p>
        </w:tc>
        <w:tc>
          <w:tcPr>
            <w:tcW w:w="1856" w:type="dxa"/>
            <w:vMerge w:val="restart"/>
            <w:shd w:val="clear" w:color="auto" w:fill="auto"/>
            <w:noWrap w:val="0"/>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noWrap w:val="0"/>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rPr>
                <w:rFonts w:hint="eastAsia" w:ascii="仿宋_GB2312" w:hAnsi="宋体"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7</w:t>
            </w:r>
          </w:p>
        </w:tc>
        <w:tc>
          <w:tcPr>
            <w:tcW w:w="900" w:type="dxa"/>
            <w:vMerge w:val="continue"/>
            <w:shd w:val="clear" w:color="auto" w:fill="auto"/>
            <w:noWrap w:val="0"/>
            <w:vAlign w:val="center"/>
          </w:tcPr>
          <w:p>
            <w:pPr>
              <w:jc w:val="center"/>
              <w:rPr>
                <w:rFonts w:hint="eastAsia" w:ascii="仿宋_GB2312" w:hAnsi="宋体" w:eastAsia="仿宋_GB2312" w:cs="宋体"/>
                <w:sz w:val="18"/>
                <w:szCs w:val="18"/>
              </w:rPr>
            </w:pPr>
          </w:p>
        </w:tc>
        <w:tc>
          <w:tcPr>
            <w:tcW w:w="776" w:type="dxa"/>
            <w:shd w:val="clear" w:color="auto" w:fill="auto"/>
            <w:noWrap w:val="0"/>
            <w:vAlign w:val="center"/>
          </w:tcPr>
          <w:p>
            <w:pPr>
              <w:rPr>
                <w:rFonts w:hint="eastAsia" w:ascii="仿宋_GB2312" w:hAnsi="宋体" w:eastAsia="仿宋_GB2312" w:cs="宋体"/>
                <w:sz w:val="18"/>
                <w:szCs w:val="18"/>
              </w:rPr>
            </w:pPr>
            <w:r>
              <w:rPr>
                <w:rFonts w:hint="eastAsia" w:ascii="仿宋_GB2312" w:eastAsia="仿宋_GB2312"/>
                <w:sz w:val="18"/>
                <w:szCs w:val="18"/>
              </w:rPr>
              <w:t>合同履行及变更信息</w:t>
            </w:r>
          </w:p>
        </w:tc>
        <w:tc>
          <w:tcPr>
            <w:tcW w:w="3364" w:type="dxa"/>
            <w:shd w:val="clear" w:color="auto" w:fill="auto"/>
            <w:noWrap w:val="0"/>
            <w:vAlign w:val="center"/>
          </w:tcPr>
          <w:p>
            <w:pPr>
              <w:rPr>
                <w:rFonts w:hint="eastAsia" w:ascii="仿宋_GB2312" w:hAnsi="宋体" w:eastAsia="仿宋_GB2312" w:cs="宋体"/>
                <w:sz w:val="18"/>
                <w:szCs w:val="18"/>
              </w:rPr>
            </w:pPr>
            <w:r>
              <w:rPr>
                <w:rFonts w:hint="eastAsia" w:ascii="仿宋_GB2312" w:eastAsia="仿宋_GB2312"/>
                <w:sz w:val="18"/>
                <w:szCs w:val="18"/>
              </w:rPr>
              <w:t>项目名称、标段名称、建设单位、承包人、项目完成质量、期限、结算金额、合同发生的变更、解除合同通知书、违约行为的处理结果。</w:t>
            </w:r>
          </w:p>
        </w:tc>
        <w:tc>
          <w:tcPr>
            <w:tcW w:w="2340" w:type="dxa"/>
            <w:vMerge w:val="continue"/>
            <w:shd w:val="clear" w:color="auto" w:fill="auto"/>
            <w:noWrap w:val="0"/>
            <w:vAlign w:val="center"/>
          </w:tcPr>
          <w:p>
            <w:pPr>
              <w:rPr>
                <w:rFonts w:hint="eastAsia" w:ascii="仿宋_GB2312" w:eastAsia="仿宋_GB2312"/>
                <w:sz w:val="18"/>
                <w:szCs w:val="18"/>
              </w:rPr>
            </w:pP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鼓励及时公开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合同当事人</w:t>
            </w:r>
          </w:p>
        </w:tc>
        <w:tc>
          <w:tcPr>
            <w:tcW w:w="1856" w:type="dxa"/>
            <w:vMerge w:val="continue"/>
            <w:shd w:val="clear" w:color="auto" w:fill="auto"/>
            <w:noWrap w:val="0"/>
            <w:vAlign w:val="center"/>
          </w:tcPr>
          <w:p>
            <w:pPr>
              <w:rPr>
                <w:rFonts w:ascii="Wingdings 2" w:hAnsi="Wingdings 2" w:cs="宋体"/>
                <w:sz w:val="18"/>
                <w:szCs w:val="18"/>
              </w:rPr>
            </w:pPr>
          </w:p>
        </w:tc>
        <w:tc>
          <w:tcPr>
            <w:tcW w:w="720" w:type="dxa"/>
            <w:shd w:val="clear" w:color="auto" w:fill="auto"/>
            <w:noWrap w:val="0"/>
            <w:vAlign w:val="center"/>
          </w:tcPr>
          <w:p>
            <w:pPr>
              <w:jc w:val="center"/>
              <w:rPr>
                <w:rFonts w:ascii="宋体" w:hAnsi="宋体" w:cs="宋体"/>
                <w:sz w:val="18"/>
                <w:szCs w:val="18"/>
              </w:rPr>
            </w:pPr>
            <w:r>
              <w:rPr>
                <w:rFonts w:hint="eastAsia"/>
                <w:sz w:val="18"/>
                <w:szCs w:val="18"/>
              </w:rPr>
              <w:t>√</w:t>
            </w:r>
          </w:p>
        </w:tc>
        <w:tc>
          <w:tcPr>
            <w:tcW w:w="900" w:type="dxa"/>
            <w:shd w:val="clear" w:color="auto" w:fill="auto"/>
            <w:noWrap w:val="0"/>
            <w:vAlign w:val="center"/>
          </w:tcPr>
          <w:p>
            <w:pPr>
              <w:jc w:val="center"/>
              <w:rPr>
                <w:rFonts w:ascii="宋体" w:hAnsi="宋体" w:cs="宋体"/>
                <w:sz w:val="18"/>
                <w:szCs w:val="18"/>
              </w:rPr>
            </w:pPr>
            <w:r>
              <w:rPr>
                <w:rFonts w:hint="eastAsia"/>
                <w:sz w:val="18"/>
                <w:szCs w:val="18"/>
              </w:rPr>
              <w:t>　</w:t>
            </w:r>
          </w:p>
        </w:tc>
        <w:tc>
          <w:tcPr>
            <w:tcW w:w="788" w:type="dxa"/>
            <w:shd w:val="clear" w:color="auto" w:fill="auto"/>
            <w:noWrap w:val="0"/>
            <w:vAlign w:val="center"/>
          </w:tcPr>
          <w:p>
            <w:pPr>
              <w:jc w:val="center"/>
              <w:rPr>
                <w:rFonts w:ascii="宋体" w:hAnsi="宋体" w:cs="宋体"/>
                <w:sz w:val="18"/>
                <w:szCs w:val="18"/>
              </w:rPr>
            </w:pPr>
            <w:r>
              <w:rPr>
                <w:rFonts w:hint="eastAsia"/>
                <w:sz w:val="18"/>
                <w:szCs w:val="18"/>
              </w:rPr>
              <w:t>√</w:t>
            </w:r>
          </w:p>
        </w:tc>
        <w:tc>
          <w:tcPr>
            <w:tcW w:w="900" w:type="dxa"/>
            <w:shd w:val="clear" w:color="auto" w:fill="auto"/>
            <w:noWrap w:val="0"/>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8</w:t>
            </w:r>
          </w:p>
        </w:tc>
        <w:tc>
          <w:tcPr>
            <w:tcW w:w="90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资格预审文件、招标文件澄清或修改</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《招标投标法》、《招标投标法实施条例》、《电子招标投标办法》</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依法必须进行招标的项目，澄清或者修改的内容可能影响资格预审申请文件或者投标文件编制的，应当在提交资格预审申请文件截止时间至少3日前，或者投标截止时间至少15日前</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shd w:val="clear" w:color="auto" w:fill="auto"/>
            <w:noWrap w:val="0"/>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招标投标公共服务平台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电子招标投标交易平台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9</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招标公告和公示信息澄清、修改</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restart"/>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10</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暂停、终止招标</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招标人名称、招标项目名称、招标项目编号、本项目首次公告日期、招标暂停或终止原因、联系方式、其他事项。</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continue"/>
            <w:shd w:val="clear" w:color="auto" w:fill="auto"/>
            <w:noWrap w:val="0"/>
            <w:vAlign w:val="center"/>
          </w:tcPr>
          <w:p>
            <w:pPr>
              <w:rPr>
                <w:rFonts w:ascii="仿宋_GB2312" w:eastAsia="仿宋_GB2312"/>
                <w:sz w:val="18"/>
                <w:szCs w:val="18"/>
              </w:rPr>
            </w:pP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11</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市场主体信用信息</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《行政处罚法》、《政府信息公开条例》、《国务院办公厅关于推进公共资源配置领域政府信息公开的意见》</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信息形成之日起20个工作日内</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负责管理的部门分别公开</w:t>
            </w:r>
          </w:p>
        </w:tc>
        <w:tc>
          <w:tcPr>
            <w:tcW w:w="1856" w:type="dxa"/>
            <w:shd w:val="clear" w:color="auto" w:fill="auto"/>
            <w:noWrap w:val="0"/>
            <w:vAlign w:val="center"/>
          </w:tcPr>
          <w:p>
            <w:pPr>
              <w:spacing w:line="240" w:lineRule="exact"/>
              <w:rPr>
                <w:rFonts w:ascii="仿宋_GB2312" w:eastAsia="仿宋_GB2312"/>
                <w:sz w:val="18"/>
                <w:szCs w:val="18"/>
              </w:rPr>
            </w:pPr>
            <w:r>
              <w:rPr>
                <w:rFonts w:hint="eastAsia" w:ascii="仿宋_GB2312" w:hAnsi="宋体" w:eastAsia="仿宋_GB2312"/>
                <w:sz w:val="18"/>
                <w:szCs w:val="18"/>
              </w:rPr>
              <w:t>■公共资源交易平台</w:t>
            </w:r>
            <w:r>
              <w:rPr>
                <w:rFonts w:hint="eastAsia" w:ascii="仿宋_GB2312" w:hAnsi="宋体" w:eastAsia="仿宋_GB2312"/>
                <w:sz w:val="18"/>
                <w:szCs w:val="18"/>
              </w:rPr>
              <w:br w:type="textWrapping"/>
            </w:r>
            <w:r>
              <w:rPr>
                <w:rFonts w:hint="eastAsia" w:ascii="仿宋_GB2312" w:hAnsi="宋体" w:eastAsia="仿宋_GB2312"/>
                <w:sz w:val="18"/>
                <w:szCs w:val="18"/>
              </w:rPr>
              <w:t>■信用中国</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12</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shd w:val="clear" w:color="auto" w:fill="auto"/>
            <w:noWrap w:val="0"/>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中国政府采购网及其地方分网</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13</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资格预审公告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shd w:val="clear" w:color="auto" w:fill="auto"/>
            <w:noWrap w:val="0"/>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2"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14</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竞争性谈判公告、竞争性磋商公告和询价公告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及时公开，公告期限为3个工作日</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restart"/>
            <w:shd w:val="clear" w:color="auto" w:fill="auto"/>
            <w:noWrap w:val="0"/>
            <w:vAlign w:val="center"/>
          </w:tcPr>
          <w:p>
            <w:pPr>
              <w:spacing w:line="240" w:lineRule="exact"/>
              <w:rPr>
                <w:rFonts w:hint="eastAsia" w:ascii="仿宋_GB2312" w:eastAsia="仿宋_GB2312"/>
                <w:sz w:val="18"/>
                <w:szCs w:val="18"/>
                <w:lang w:eastAsia="zh-CN"/>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lang w:eastAsia="zh-CN"/>
              </w:rPr>
              <w:t>（广东省政府采购网）</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15</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采购项目预算金额</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随采购公告、采购文件公开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continue"/>
            <w:shd w:val="clear" w:color="auto" w:fill="auto"/>
            <w:noWrap w:val="0"/>
            <w:vAlign w:val="center"/>
          </w:tcPr>
          <w:p>
            <w:pPr>
              <w:rPr>
                <w:rFonts w:ascii="仿宋_GB2312" w:eastAsia="仿宋_GB2312"/>
                <w:sz w:val="18"/>
                <w:szCs w:val="18"/>
              </w:rPr>
            </w:pP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16</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采购文件</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招标文件、竞争性谈判文件、竞争性磋商文件和询价通知书。</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随中标、成交结果同时公告。中标、成交结果公告前采购文件已公告的，不再重复公告</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中国政府采购网及其地方分网</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2"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17</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采购信息更正公告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采购人和采购代理机构名称、地址、联系方式；原公告的采购项目名称及首次公告日期；更正事项、内容及日期；采购项目联系人和电话。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投标截止时间至少15日前、提交资格预审申请文件截止时间至少3日前，或者提交首次响应文件截止之日3个工作日前</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5"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18</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单一来源公示</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jc w:val="left"/>
              <w:rPr>
                <w:rFonts w:hint="eastAsia" w:ascii="仿宋_GB2312" w:eastAsia="仿宋_GB2312"/>
                <w:sz w:val="18"/>
                <w:szCs w:val="18"/>
              </w:rPr>
            </w:pPr>
            <w:r>
              <w:rPr>
                <w:rFonts w:hint="eastAsia" w:ascii="仿宋_GB2312" w:eastAsia="仿宋_GB2312"/>
                <w:sz w:val="18"/>
                <w:szCs w:val="18"/>
              </w:rPr>
              <w:t>及时公开，公示期限不得少于5个工作日</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8"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19</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协议供货和定点采购的具体成交记录</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采购人和成交供应商的名称、成交金额以及成交标的的名称、规格型号、数量、单价等。电子卖场、电子商城、网上超市等的具体成交记录，也应当予以公开。</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《关于进一步做好政府采购信息公开工作有关事项的通知》</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集中采购机构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■中国政府采购网及其省级分网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20</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中标、成交结果</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jc w:val="left"/>
              <w:rPr>
                <w:rFonts w:hint="eastAsia" w:ascii="仿宋_GB2312" w:eastAsia="仿宋_GB2312"/>
                <w:sz w:val="18"/>
                <w:szCs w:val="18"/>
              </w:rPr>
            </w:pPr>
            <w:r>
              <w:rPr>
                <w:rFonts w:hint="eastAsia" w:ascii="仿宋_GB2312" w:eastAsia="仿宋_GB2312"/>
                <w:sz w:val="18"/>
                <w:szCs w:val="18"/>
              </w:rPr>
              <w:t>自中标、成交供应商确定之日起2个工作日内公告，公告期限为1个工作日</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21</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采购合同</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采购人和采购代理机构名称、地址、联系方式；采购项目名称、编号，合同编号；供应商名称；合同内容。</w:t>
            </w:r>
            <w:r>
              <w:rPr>
                <w:rFonts w:hint="eastAsia" w:ascii="仿宋_GB2312" w:eastAsia="仿宋_GB2312"/>
                <w:sz w:val="18"/>
                <w:szCs w:val="18"/>
              </w:rPr>
              <w:br w:type="textWrapping"/>
            </w:r>
            <w:r>
              <w:rPr>
                <w:rFonts w:hint="eastAsia" w:ascii="仿宋_GB2312" w:eastAsia="仿宋_GB2312"/>
                <w:sz w:val="18"/>
                <w:szCs w:val="1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合同签订之日起2个工作日内</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22</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终止公告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采购人和采购代理机构名称、地址、联系方式；采购项目名称、采购编号，采购方式；采购项目终止原因；公告期限；采购项目联系人和电话。</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shd w:val="clear" w:color="auto" w:fill="auto"/>
            <w:noWrap w:val="0"/>
            <w:vAlign w:val="center"/>
          </w:tcPr>
          <w:p>
            <w:pPr>
              <w:spacing w:line="240" w:lineRule="exact"/>
              <w:rPr>
                <w:rFonts w:ascii="仿宋_GB2312"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23</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公共服务项目采购需求</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采购对象需实现的功能或者目标，满足项目需要的所有技术、服务、安全等要求，采购对象的数量、交付或实施的时间和地点，采购对象的验收标准等。</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《财政部关于做好政府采购信息公开工作的通知》、《关于进一步加强政府采购需求和履约验收管理的指导意见》</w:t>
            </w:r>
          </w:p>
        </w:tc>
        <w:tc>
          <w:tcPr>
            <w:tcW w:w="162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24</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公共服务项目验收结果</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采购人和采购代理机构名称、地址、联系方式；采购项目名称、编号，合同编号；履约供应商名称；验收单位；验收结果；验收人员。</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验收结束之日起2个工作日内</w:t>
            </w:r>
          </w:p>
        </w:tc>
        <w:tc>
          <w:tcPr>
            <w:tcW w:w="956" w:type="dxa"/>
            <w:shd w:val="clear" w:color="auto" w:fill="auto"/>
            <w:noWrap w:val="0"/>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shd w:val="clear" w:color="auto" w:fill="auto"/>
            <w:noWrap w:val="0"/>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5" w:hRule="atLeas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25</w:t>
            </w:r>
          </w:p>
        </w:tc>
        <w:tc>
          <w:tcPr>
            <w:tcW w:w="900" w:type="dxa"/>
            <w:vMerge w:val="restart"/>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投诉、监督检查等处理决定公告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相关当事人名称及地址、投诉涉及采购项目名称及采购日期、投诉事项或监督检查主要事项、处理依据、处理结果、执法机关名称、公告日期等。</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shd w:val="clear" w:color="auto" w:fill="auto"/>
            <w:noWrap w:val="0"/>
            <w:vAlign w:val="center"/>
          </w:tcPr>
          <w:p>
            <w:pPr>
              <w:rPr>
                <w:rFonts w:hint="eastAsia" w:ascii="仿宋_GB2312" w:eastAsia="仿宋_GB2312"/>
                <w:sz w:val="18"/>
                <w:szCs w:val="18"/>
                <w:lang w:eastAsia="zh-CN"/>
              </w:rPr>
            </w:pPr>
            <w:r>
              <w:rPr>
                <w:rFonts w:hint="eastAsia" w:ascii="仿宋_GB2312" w:eastAsia="仿宋_GB2312"/>
                <w:sz w:val="18"/>
                <w:szCs w:val="18"/>
                <w:lang w:eastAsia="zh-CN"/>
              </w:rPr>
              <w:t>遂溪县财政局</w:t>
            </w:r>
          </w:p>
        </w:tc>
        <w:tc>
          <w:tcPr>
            <w:tcW w:w="1856" w:type="dxa"/>
            <w:vMerge w:val="restart"/>
            <w:shd w:val="clear" w:color="auto" w:fill="auto"/>
            <w:noWrap w:val="0"/>
            <w:vAlign w:val="center"/>
          </w:tcPr>
          <w:p>
            <w:pPr>
              <w:spacing w:line="240" w:lineRule="exact"/>
              <w:rPr>
                <w:rFonts w:ascii="仿宋_GB2312"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eastAsia="仿宋_GB2312"/>
                <w:sz w:val="18"/>
                <w:szCs w:val="18"/>
              </w:rPr>
            </w:pPr>
            <w:r>
              <w:rPr>
                <w:rFonts w:hint="eastAsia" w:ascii="仿宋_GB2312" w:eastAsia="仿宋_GB2312"/>
                <w:sz w:val="18"/>
                <w:szCs w:val="18"/>
              </w:rPr>
              <w:t>26</w:t>
            </w:r>
          </w:p>
        </w:tc>
        <w:tc>
          <w:tcPr>
            <w:tcW w:w="900" w:type="dxa"/>
            <w:vMerge w:val="continue"/>
            <w:shd w:val="clear" w:color="auto" w:fill="auto"/>
            <w:noWrap w:val="0"/>
            <w:vAlign w:val="center"/>
          </w:tcPr>
          <w:p>
            <w:pPr>
              <w:jc w:val="center"/>
              <w:rPr>
                <w:rFonts w:hint="eastAsia" w:ascii="仿宋_GB2312" w:eastAsia="仿宋_GB2312"/>
                <w:sz w:val="18"/>
                <w:szCs w:val="18"/>
              </w:rPr>
            </w:pPr>
          </w:p>
        </w:tc>
        <w:tc>
          <w:tcPr>
            <w:tcW w:w="776"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集中采购机构的考核结果公告</w:t>
            </w:r>
          </w:p>
        </w:tc>
        <w:tc>
          <w:tcPr>
            <w:tcW w:w="3364"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集中采购机构名称、考核内容、考核方法、考核结果、存在问题、考核单位等。</w:t>
            </w:r>
          </w:p>
        </w:tc>
        <w:tc>
          <w:tcPr>
            <w:tcW w:w="234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同上</w:t>
            </w:r>
          </w:p>
        </w:tc>
        <w:tc>
          <w:tcPr>
            <w:tcW w:w="1620" w:type="dxa"/>
            <w:shd w:val="clear" w:color="auto" w:fill="auto"/>
            <w:noWrap w:val="0"/>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shd w:val="clear" w:color="auto" w:fill="auto"/>
            <w:noWrap w:val="0"/>
            <w:vAlign w:val="center"/>
          </w:tcPr>
          <w:p>
            <w:pPr>
              <w:rPr>
                <w:rFonts w:hint="eastAsia" w:ascii="仿宋_GB2312" w:eastAsia="仿宋_GB2312"/>
                <w:sz w:val="18"/>
                <w:szCs w:val="18"/>
                <w:lang w:eastAsia="zh-CN"/>
              </w:rPr>
            </w:pPr>
            <w:r>
              <w:rPr>
                <w:rFonts w:hint="eastAsia" w:ascii="仿宋_GB2312" w:eastAsia="仿宋_GB2312"/>
                <w:sz w:val="18"/>
                <w:szCs w:val="18"/>
                <w:lang w:eastAsia="zh-CN"/>
              </w:rPr>
              <w:t>采购人</w:t>
            </w:r>
          </w:p>
        </w:tc>
        <w:tc>
          <w:tcPr>
            <w:tcW w:w="1856" w:type="dxa"/>
            <w:vMerge w:val="continue"/>
            <w:shd w:val="clear" w:color="auto" w:fill="auto"/>
            <w:noWrap w:val="0"/>
            <w:vAlign w:val="center"/>
          </w:tcPr>
          <w:p>
            <w:pPr>
              <w:rPr>
                <w:rFonts w:ascii="仿宋_GB2312" w:eastAsia="仿宋_GB2312"/>
                <w:sz w:val="18"/>
                <w:szCs w:val="18"/>
              </w:rPr>
            </w:pPr>
          </w:p>
        </w:tc>
        <w:tc>
          <w:tcPr>
            <w:tcW w:w="72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noWrap w:val="0"/>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27</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国有土地使用权出让信息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土地出让计划</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明确国有建设用地供应指导思想和原则；提出国有建设用地供应政策导向；确定国有建设用地供应总量、结构、布局、时序和方式；落实计划供应的宗地；实施计划的保障措施。</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《国务院办公厅关于推进公共资源配置领域政府信息公开的意见》、《招标拍卖挂牌出让国有建设用地使用权规定》、《国有建设用地供应计划编制规范》（试行）</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每年3月31日前，公布年度国有建设用地供应计划</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各级自然资源管理部门网站</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28</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招标拍卖挂牌出让公告</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出让人的名称和地址；出让宗地的面积、界址、空间范围、现状、使用年期、用途、规划指标要求；投标人、竞买人的资格要求以及申请取得投标、竞买资格的办法；索取招标拍卖挂牌出让文件的时间、地点和方式；招标拍卖挂牌时间、地点、投标挂牌期限、投标和竞价方式等；确定中标人、竞得人的标准和方法；投标、竞买保证金；其他需要公告的事项。</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《国务院办公厅关于推进公共资源配置领域政府信息公开的意见》、《招标拍卖挂牌出让国有建设用地使用权规定》</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至少在投标、拍卖或者挂牌开始日前20日。挂牌时间不得少于10日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土地有形市场、媒介（一般指中国土地市场网、当地政府媒介）</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29</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国有土地使用权出让信息　</w:t>
            </w:r>
          </w:p>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公告调整</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公开国有建设用地使用权出让公告、项目概况、澄清或者修改事项、联系方式。</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《招标拍卖挂牌出让国有土地使用权规范》</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按原公告发布渠道及时发布补充公告，涉及土地使用条件变更等影响土地价格的重大变动，补充公告发布时间距招拍挂活动开始时间少于20日的，招拍挂活动相应顺延</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中国土地市场网或者土地有形市场等</w:t>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30</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招标拍卖挂牌出让结果（成交公示）</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土地位置、面积、用途、开发程度、土地级别、容积率、出让年限、供地方式、受让人、成交价格和成交时间等。</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《国务院办公厅关于推进公共资源配置领域政府信息公开的意见》、《招标拍卖挂牌出让国有建设用地使用权规定》、《招标拍卖挂牌出让国有土地使用权规范》</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招标拍卖挂牌活动结束后的10个工作日内</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土地有形市场或者指定的场所、媒介（一般指中国土地市场网、当地政府媒介）</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31</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供应结果</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国有建设用地使用权年度供应结果。</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及时公开</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各级自然资源管理部门网站</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32</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矿业权出让信息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招标拍卖挂牌出让公告</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出让人和矿业权交易平台的名称、场所；出让矿业权的简要情况，包括项目名称、矿种、地理位置、拐点范围坐标、面积、资源储量（勘查工作程度）、开采标高、资源开发利用情况、拟出让年限等，以及勘查投入、矿山地质环境保护及土地复垦要求等；投标人或竞买人的资质条件；出让方式及交易时间、地点；获取招拍挂文件的途径和申请登记的起止时间及方式；确定中标人、竞得人的标准和方法；公共资源交易领域失信联合惩戒相关提示，风险提示；对交易矿业权异议的处理方式；需要公告的其他内容。</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《国务院办公厅关于推进公共资源配置领域政府信息公开的意见》、国土资源部关于印发矿业权交易规则》的通知、《自然资源部关于调整&lt;矿业权交易规则&gt;有关规定的通知》</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在投标截止日、公开拍卖日或者挂牌起始日20个工作日前发布。挂牌时间不得少于10个工作日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Calibri" w:eastAsia="仿宋_GB2312" w:cs="仿宋_GB2312"/>
                <w:kern w:val="2"/>
                <w:sz w:val="18"/>
                <w:szCs w:val="18"/>
                <w:bdr w:val="none" w:color="auto" w:sz="0" w:space="0"/>
                <w:lang w:val="en-US" w:eastAsia="zh-CN" w:bidi="ar"/>
              </w:rPr>
              <w:t>在下列平台同时发布：</w:t>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自然资源部门户网站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同级自然资源主管部门门户网站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矿业权交易平台交易大厅</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33</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招标拍卖挂牌成交结果公示</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中标人或者竞得人的名称、场所，成交时间、地点；中标或者竞得的勘查区块、面积、开采范围的简要情况；矿业权成交价格及缴纳时间、方式，申请办理矿业权登记的时限；对公示内容提出异议的方式及途径；应当公示的其他内容。</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《国务院办公厅关于推进公共资源配置领域政府信息公开的意见》、国土资源部关于印发矿业权交易规则》的通知</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发出中标通知书或者签订成交确认书后5个工作日内进行信息公示。公示期不少于10个工作日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Calibri" w:eastAsia="仿宋_GB2312" w:cs="仿宋_GB2312"/>
                <w:kern w:val="2"/>
                <w:sz w:val="18"/>
                <w:szCs w:val="18"/>
                <w:bdr w:val="none" w:color="auto" w:sz="0" w:space="0"/>
                <w:lang w:val="en-US" w:eastAsia="zh-CN" w:bidi="ar"/>
              </w:rPr>
              <w:t>在下列平台同时发布：</w:t>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自然资源部门户网站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同级自然资源主管部门门户网站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矿业权交易平台交易大厅</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34</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矿业权出让信息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审批结果信息</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每个项目的审批结果信息（交易完成后由各级自然资源管理部门审批）。</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《政府信息公开条例》、《国务院办公厅关于推进公共资源配置领域政府信息公开的意见》</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信息形成之日起20个工作日内</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各级自然资源管理部门网站</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35</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项目信息</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公告有效期内矿业权基本信息包括矿业权名称、许可证号、矿业权人、矿种、有效期限。</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《政府信息公开条例》、《国务院办公厅关于推进公共资源配置领域政府信息公开的意见》</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每年第一季度集中公告</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各级自然资源管理部门网站</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36</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国有产权交易信息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国有企业产权转让信息预披露</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《国务院办公厅关于推进公共资源配置领域政府信息公开的意见》、《企业国有资产交易监督管理办法》</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及时公开，正式披露信息时间不得少于20个工作日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产权交易机构网站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37</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国有产权交易信息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国有企业产权转让信息披露</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交易条件、转让底价；企业管理层是否参与受让，有限责任公司原股东是否放弃优先受让权；竞价方式，受让方选择的相关评判标准；其他需要披露的事项。</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《国务院办公厅关于推进公共资源配置领域政府信息公开的意见》、《企业国有资产交易监督管理办法》</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及时公开，正式披露信息时间不得少于20个工作日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产权交易机构网站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38</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国有企业产权转让成交公告</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交易标的名称、转让标的评估结果、转让底价、交易价格。</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《国务院办公厅关于推进公共资源配置领域政府信息公开的意见》、《企业国有资产交易监督管理办法》</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及时公开，公告期不少于5个工作日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产权交易机构网站</w:t>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bookmarkStart w:id="0" w:name="_GoBack" w:colFirst="5" w:colLast="5"/>
            <w:r>
              <w:rPr>
                <w:rFonts w:hint="eastAsia" w:ascii="仿宋_GB2312" w:hAnsi="Calibri" w:eastAsia="仿宋_GB2312" w:cs="仿宋_GB2312"/>
                <w:kern w:val="2"/>
                <w:sz w:val="18"/>
                <w:szCs w:val="18"/>
                <w:bdr w:val="none" w:color="auto" w:sz="0" w:space="0"/>
                <w:lang w:val="en-US" w:eastAsia="zh-CN" w:bidi="ar"/>
              </w:rPr>
              <w:t>39</w:t>
            </w:r>
          </w:p>
        </w:tc>
        <w:tc>
          <w:tcPr>
            <w:tcW w:w="9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国有产权交易信息</w:t>
            </w: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国有企业资产转让信息披露</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标的基本情况、交易条件、转让底价、竞价方式、受让方选择的相关评判标准等。</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《国务院办公厅关于推进公共资源配置领域政府信息公开的意见》、《企业国有资产交易监督管理办法》</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转让底价高于100万元、低于1000万元的资产转让项目，信息公告期应不少于10个工作日；转让底价高于1000万元的资产转让项目，信息公告期应不少于20个工作日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产权交易机构网站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40</w:t>
            </w:r>
          </w:p>
        </w:tc>
        <w:tc>
          <w:tcPr>
            <w:tcW w:w="9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77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国有企业资产转让成交公告</w:t>
            </w:r>
          </w:p>
        </w:tc>
        <w:tc>
          <w:tcPr>
            <w:tcW w:w="33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交易标的名称、评估价格、转让底价、交易价格等。</w:t>
            </w:r>
          </w:p>
        </w:tc>
        <w:tc>
          <w:tcPr>
            <w:tcW w:w="23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《国务院办公厅关于推进公共资源配置领域政府信息公开的意见》、《企业国有资产交易监督管理办法》</w:t>
            </w:r>
          </w:p>
        </w:tc>
        <w:tc>
          <w:tcPr>
            <w:tcW w:w="16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不少于5个工作日</w:t>
            </w:r>
          </w:p>
        </w:tc>
        <w:tc>
          <w:tcPr>
            <w:tcW w:w="9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遂溪县自然资源局</w:t>
            </w:r>
          </w:p>
        </w:tc>
        <w:tc>
          <w:tcPr>
            <w:tcW w:w="18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产权交易机构网站</w:t>
            </w:r>
            <w:r>
              <w:rPr>
                <w:rFonts w:hint="eastAsia" w:ascii="仿宋_GB2312" w:hAnsi="Calibri" w:eastAsia="仿宋_GB2312" w:cs="仿宋_GB2312"/>
                <w:kern w:val="2"/>
                <w:sz w:val="18"/>
                <w:szCs w:val="18"/>
                <w:bdr w:val="none" w:color="auto" w:sz="0" w:space="0"/>
                <w:lang w:val="en-US" w:eastAsia="zh-CN" w:bidi="ar"/>
              </w:rPr>
              <w:br w:type="textWrapping"/>
            </w:r>
            <w:r>
              <w:rPr>
                <w:rFonts w:hint="eastAsia" w:ascii="仿宋_GB2312" w:hAnsi="宋体" w:eastAsia="仿宋_GB2312" w:cs="仿宋_GB2312"/>
                <w:kern w:val="2"/>
                <w:sz w:val="18"/>
                <w:szCs w:val="18"/>
                <w:bdr w:val="none" w:color="auto" w:sz="0" w:space="0"/>
                <w:lang w:val="en-US" w:eastAsia="zh-CN" w:bidi="ar"/>
              </w:rPr>
              <w:t>■</w:t>
            </w:r>
            <w:r>
              <w:rPr>
                <w:rFonts w:hint="eastAsia" w:ascii="仿宋_GB2312" w:hAnsi="Calibri" w:eastAsia="仿宋_GB2312" w:cs="仿宋_GB2312"/>
                <w:kern w:val="2"/>
                <w:sz w:val="18"/>
                <w:szCs w:val="18"/>
                <w:bdr w:val="none" w:color="auto" w:sz="0" w:space="0"/>
                <w:lang w:val="en-US" w:eastAsia="zh-CN" w:bidi="ar"/>
              </w:rPr>
              <w:t>公共资源交易平台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c>
          <w:tcPr>
            <w:tcW w:w="7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bdr w:val="none" w:color="auto" w:sz="0" w:space="0"/>
                <w:lang w:val="en-US"/>
              </w:rPr>
            </w:pPr>
            <w:r>
              <w:rPr>
                <w:rFonts w:hint="eastAsia" w:ascii="仿宋_GB2312" w:hAnsi="Calibri" w:eastAsia="仿宋_GB2312" w:cs="仿宋_GB2312"/>
                <w:kern w:val="2"/>
                <w:sz w:val="18"/>
                <w:szCs w:val="18"/>
                <w:bdr w:val="none" w:color="auto" w:sz="0" w:space="0"/>
                <w:lang w:val="en-US" w:eastAsia="zh-CN" w:bidi="ar"/>
              </w:rPr>
              <w:t>　</w:t>
            </w:r>
          </w:p>
        </w:tc>
      </w:tr>
    </w:tbl>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18"/>
          <w:szCs w:val="18"/>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方正小标宋_GBK" w:cs="Times New Roman"/>
          <w:sz w:val="30"/>
          <w:szCs w:val="30"/>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方正小标宋_GBK" w:cs="Times New Roman"/>
          <w:sz w:val="30"/>
          <w:szCs w:val="30"/>
          <w:lang w:val="en-US"/>
        </w:rPr>
      </w:pPr>
    </w:p>
    <w:p>
      <w:pPr>
        <w:keepNext w:val="0"/>
        <w:keepLines w:val="0"/>
        <w:widowControl w:val="0"/>
        <w:suppressLineNumbers w:val="0"/>
        <w:spacing w:before="0" w:beforeAutospacing="0" w:after="0" w:afterAutospacing="0"/>
        <w:ind w:left="0" w:right="0"/>
        <w:jc w:val="left"/>
        <w:rPr>
          <w:rFonts w:hint="default" w:ascii="Times New Roman" w:hAnsi="Times New Roman" w:eastAsia="方正小标宋_GBK" w:cs="Times New Roman"/>
          <w:sz w:val="28"/>
          <w:szCs w:val="28"/>
          <w:lang w:val="en-US"/>
        </w:rPr>
      </w:pPr>
    </w:p>
    <w:p/>
    <w:sectPr>
      <w:footerReference r:id="rId4" w:type="first"/>
      <w:footerReference r:id="rId3" w:type="default"/>
      <w:pgSz w:w="16838" w:h="11906" w:orient="landscape"/>
      <w:pgMar w:top="1797" w:right="1440" w:bottom="1797" w:left="144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 w:name="@仿宋_GB2312">
    <w:panose1 w:val="02010609030101010101"/>
    <w:charset w:val="86"/>
    <w:family w:val="auto"/>
    <w:pitch w:val="fixed"/>
    <w:sig w:usb0="00000001" w:usb1="080E0000" w:usb2="00000000" w:usb3="00000000" w:csb0="00040000" w:csb1="00000000"/>
  </w:font>
  <w:font w:name="@方正小标宋_GBK">
    <w:altName w:val="宋体"/>
    <w:panose1 w:val="00000000000000000000"/>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Fonts w:hint="eastAsia"/>
      </w:rPr>
    </w:pPr>
  </w:p>
  <w:p>
    <w:pPr>
      <w:pStyle w:val="3"/>
      <w:jc w:val="center"/>
      <w:rPr>
        <w:rFonts w:hint="eastAsia"/>
      </w:rPr>
    </w:pPr>
    <w:r>
      <w:fldChar w:fldCharType="begin"/>
    </w:r>
    <w:r>
      <w:rPr>
        <w:rStyle w:val="6"/>
      </w:rPr>
      <w:instrText xml:space="preserve"> PAGE </w:instrText>
    </w:r>
    <w:r>
      <w:fldChar w:fldCharType="separate"/>
    </w:r>
    <w:r>
      <w:rPr>
        <w:rStyle w:val="6"/>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rPr>
        <w:rStyle w:val="6"/>
      </w:rPr>
      <w:instrText xml:space="preserve"> PAGE </w:instrText>
    </w:r>
    <w:r>
      <w:fldChar w:fldCharType="separate"/>
    </w:r>
    <w:r>
      <w:rPr>
        <w:rStyle w:val="6"/>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124DD4"/>
    <w:rsid w:val="00124DD4"/>
    <w:rsid w:val="001849C3"/>
    <w:rsid w:val="001C747D"/>
    <w:rsid w:val="00520597"/>
    <w:rsid w:val="120D6C94"/>
    <w:rsid w:val="13481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customStyle="1" w:styleId="7">
    <w:name w:val="标题 1 Char"/>
    <w:basedOn w:val="5"/>
    <w:link w:val="2"/>
    <w:qFormat/>
    <w:uiPriority w:val="0"/>
    <w:rPr>
      <w:rFonts w:ascii="Calibri" w:hAnsi="Calibri" w:eastAsia="宋体" w:cs="Times New Roman"/>
      <w:b/>
      <w:bCs/>
      <w:kern w:val="44"/>
      <w:sz w:val="44"/>
      <w:szCs w:val="44"/>
    </w:rPr>
  </w:style>
  <w:style w:type="character" w:customStyle="1" w:styleId="8">
    <w:name w:val="页脚 Char"/>
    <w:basedOn w:val="5"/>
    <w:link w:val="3"/>
    <w:qFormat/>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413</Words>
  <Characters>2359</Characters>
  <Lines>19</Lines>
  <Paragraphs>5</Paragraphs>
  <TotalTime>18</TotalTime>
  <ScaleCrop>false</ScaleCrop>
  <LinksUpToDate>false</LinksUpToDate>
  <CharactersWithSpaces>2767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2020-09-29T00:44:00Z</dcterms:created>
  <dc:creator>吴丽君</dc:creator>
  <cp:lastModifiedBy>吴丽君</cp:lastModifiedBy>
  <dcterms:modified xsi:type="dcterms:W3CDTF">2020-11-09T07:18:19Z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